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DC" w:rsidRDefault="00E128DE">
      <w:pPr>
        <w:kinsoku w:val="0"/>
        <w:overflowPunct w:val="0"/>
        <w:autoSpaceDE w:val="0"/>
        <w:autoSpaceDN w:val="0"/>
        <w:adjustRightInd w:val="0"/>
        <w:spacing w:after="0" w:line="240" w:lineRule="auto"/>
        <w:jc w:val="both"/>
        <w:rPr>
          <w:rFonts w:ascii="方正小标宋简体" w:eastAsia="方正小标宋简体" w:hAnsi="方正小标宋简体" w:cs="方正小标宋简体"/>
          <w:b/>
          <w:bCs/>
          <w:kern w:val="0"/>
          <w:sz w:val="44"/>
          <w:szCs w:val="44"/>
          <w14:ligatures w14:val="none"/>
        </w:rPr>
      </w:pPr>
      <w:bookmarkStart w:id="0" w:name="_GoBack"/>
      <w:bookmarkEnd w:id="0"/>
      <w:r>
        <w:rPr>
          <w:rFonts w:ascii="仿宋" w:eastAsia="仿宋" w:hAnsi="仿宋" w:cs="宋体" w:hint="eastAsia"/>
          <w:color w:val="333333"/>
          <w:kern w:val="0"/>
          <w:sz w:val="32"/>
          <w:szCs w:val="32"/>
          <w14:ligatures w14:val="none"/>
        </w:rPr>
        <w:t>附件</w:t>
      </w:r>
      <w:r>
        <w:rPr>
          <w:rFonts w:ascii="仿宋" w:eastAsia="仿宋" w:hAnsi="仿宋" w:cs="宋体" w:hint="eastAsia"/>
          <w:color w:val="333333"/>
          <w:kern w:val="0"/>
          <w:sz w:val="32"/>
          <w:szCs w:val="32"/>
          <w14:ligatures w14:val="none"/>
        </w:rPr>
        <w:t>1</w:t>
      </w:r>
    </w:p>
    <w:p w:rsidR="00541FDC" w:rsidRDefault="00E128DE">
      <w:pPr>
        <w:kinsoku w:val="0"/>
        <w:overflowPunct w:val="0"/>
        <w:autoSpaceDE w:val="0"/>
        <w:autoSpaceDN w:val="0"/>
        <w:adjustRightInd w:val="0"/>
        <w:spacing w:after="0" w:line="240" w:lineRule="auto"/>
        <w:jc w:val="center"/>
        <w:rPr>
          <w:rFonts w:ascii="方正小标宋简体" w:eastAsia="方正小标宋简体" w:hAnsi="方正小标宋简体" w:cs="方正小标宋简体"/>
          <w:b/>
          <w:bCs/>
          <w:kern w:val="0"/>
          <w:sz w:val="44"/>
          <w:szCs w:val="44"/>
          <w14:ligatures w14:val="none"/>
        </w:rPr>
      </w:pPr>
      <w:r>
        <w:rPr>
          <w:rFonts w:ascii="方正小标宋简体" w:eastAsia="方正小标宋简体" w:hAnsi="方正小标宋简体" w:cs="方正小标宋简体" w:hint="eastAsia"/>
          <w:b/>
          <w:bCs/>
          <w:kern w:val="0"/>
          <w:sz w:val="44"/>
          <w:szCs w:val="44"/>
          <w14:ligatures w14:val="none"/>
        </w:rPr>
        <w:t>教育部中国特色学徒制教学指导委员会</w:t>
      </w:r>
    </w:p>
    <w:p w:rsidR="00541FDC" w:rsidRDefault="00E128DE">
      <w:pPr>
        <w:kinsoku w:val="0"/>
        <w:overflowPunct w:val="0"/>
        <w:autoSpaceDE w:val="0"/>
        <w:autoSpaceDN w:val="0"/>
        <w:adjustRightInd w:val="0"/>
        <w:spacing w:after="0" w:line="240" w:lineRule="auto"/>
        <w:jc w:val="center"/>
        <w:rPr>
          <w:rFonts w:ascii="方正小标宋简体" w:eastAsia="方正小标宋简体" w:hAnsi="方正小标宋简体" w:cs="方正小标宋简体"/>
          <w:b/>
          <w:bCs/>
          <w:kern w:val="0"/>
          <w:sz w:val="44"/>
          <w:szCs w:val="44"/>
          <w14:ligatures w14:val="none"/>
        </w:rPr>
      </w:pPr>
      <w:r>
        <w:rPr>
          <w:rFonts w:ascii="方正小标宋简体" w:eastAsia="方正小标宋简体" w:hAnsi="方正小标宋简体" w:cs="方正小标宋简体"/>
          <w:b/>
          <w:bCs/>
          <w:kern w:val="0"/>
          <w:sz w:val="44"/>
          <w:szCs w:val="44"/>
          <w14:ligatures w14:val="none"/>
        </w:rPr>
        <w:t xml:space="preserve">2025 </w:t>
      </w:r>
      <w:r>
        <w:rPr>
          <w:rFonts w:ascii="方正小标宋简体" w:eastAsia="方正小标宋简体" w:hAnsi="方正小标宋简体" w:cs="方正小标宋简体" w:hint="eastAsia"/>
          <w:b/>
          <w:bCs/>
          <w:kern w:val="0"/>
          <w:sz w:val="44"/>
          <w:szCs w:val="44"/>
          <w14:ligatures w14:val="none"/>
        </w:rPr>
        <w:t>年度课题指南</w:t>
      </w:r>
    </w:p>
    <w:p w:rsidR="00541FDC" w:rsidRDefault="00E128DE">
      <w:pPr>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为深入学习贯彻党的二十大、二十届二中、三中全中精神和习近平总书记关于职业教育的重要论述，贯彻落实全国教育大会精神，加快现代职业教育体系建设，进一步完善中国特色学徒制制度理论体系，推进中国特色学徒制高质量发展，制定本年度规划课题指南。</w:t>
      </w:r>
    </w:p>
    <w:p w:rsidR="00541FDC" w:rsidRDefault="00E128DE">
      <w:pPr>
        <w:spacing w:after="0" w:line="560" w:lineRule="exact"/>
        <w:ind w:firstLineChars="200" w:firstLine="640"/>
        <w:jc w:val="both"/>
        <w:rPr>
          <w:rFonts w:ascii="黑体" w:eastAsia="黑体" w:hAnsi="黑体" w:cs="宋体"/>
          <w:color w:val="333333"/>
          <w:kern w:val="0"/>
          <w:sz w:val="32"/>
          <w:szCs w:val="32"/>
          <w14:ligatures w14:val="none"/>
        </w:rPr>
      </w:pPr>
      <w:r>
        <w:rPr>
          <w:rFonts w:ascii="黑体" w:eastAsia="黑体" w:hAnsi="黑体" w:cs="宋体" w:hint="eastAsia"/>
          <w:color w:val="333333"/>
          <w:kern w:val="0"/>
          <w:sz w:val="32"/>
          <w:szCs w:val="32"/>
          <w14:ligatures w14:val="none"/>
        </w:rPr>
        <w:t>一、选题要求</w:t>
      </w:r>
    </w:p>
    <w:p w:rsidR="00541FDC" w:rsidRDefault="00E128DE">
      <w:pPr>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中国特色学徒制教学指导委员会理论与政策研究专门委员会</w:t>
      </w:r>
      <w:r>
        <w:rPr>
          <w:rFonts w:ascii="仿宋" w:eastAsia="仿宋" w:hAnsi="仿宋" w:cs="宋体" w:hint="eastAsia"/>
          <w:color w:val="333333"/>
          <w:kern w:val="0"/>
          <w:sz w:val="32"/>
          <w:szCs w:val="32"/>
          <w14:ligatures w14:val="none"/>
        </w:rPr>
        <w:t>2025</w:t>
      </w:r>
      <w:r>
        <w:rPr>
          <w:rFonts w:ascii="仿宋" w:eastAsia="仿宋" w:hAnsi="仿宋" w:cs="宋体" w:hint="eastAsia"/>
          <w:color w:val="333333"/>
          <w:kern w:val="0"/>
          <w:sz w:val="32"/>
          <w:szCs w:val="32"/>
          <w14:ligatures w14:val="none"/>
        </w:rPr>
        <w:t>年度课题类别包括以下三种，分别为：重大课题、重点课题和一般课题。</w:t>
      </w:r>
    </w:p>
    <w:p w:rsidR="00541FDC" w:rsidRDefault="00E128DE">
      <w:pPr>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hint="eastAsia"/>
          <w:color w:val="333333"/>
          <w:kern w:val="0"/>
          <w:sz w:val="32"/>
          <w:szCs w:val="32"/>
          <w14:ligatures w14:val="none"/>
        </w:rPr>
        <w:t>重大课题以“揭榜挂帅”方式实施，申请者不得更改研究题目，鼓励职业院校与高校、企业等开展产学研合作，组成创新联合体开展揭榜攻关。</w:t>
      </w:r>
    </w:p>
    <w:p w:rsidR="00541FDC" w:rsidRDefault="00E128DE">
      <w:pPr>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2.</w:t>
      </w:r>
      <w:r>
        <w:rPr>
          <w:rFonts w:ascii="仿宋" w:eastAsia="仿宋" w:hAnsi="仿宋" w:cs="宋体" w:hint="eastAsia"/>
          <w:color w:val="333333"/>
          <w:kern w:val="0"/>
          <w:sz w:val="32"/>
          <w:szCs w:val="32"/>
          <w14:ligatures w14:val="none"/>
        </w:rPr>
        <w:t>重点课题分为“基础理论研究”“决策咨询研究”“改革实践研究”三类选题方向。研究者以课题指南为准，根据自己的专长和基础选取独特的切入点进行研究设计。研究内容应具有创新性，取得的研究成果应具有较高理论价值或实践价值。</w:t>
      </w:r>
    </w:p>
    <w:p w:rsidR="00541FDC" w:rsidRDefault="00E128DE">
      <w:pPr>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一般课题的申请者可根据自己的研究方向和研究基础，自行设计课题名称和研究内容。</w:t>
      </w:r>
    </w:p>
    <w:p w:rsidR="00541FDC" w:rsidRDefault="00E128DE">
      <w:pPr>
        <w:pStyle w:val="aa"/>
        <w:numPr>
          <w:ilvl w:val="0"/>
          <w:numId w:val="1"/>
        </w:numPr>
        <w:spacing w:after="0" w:line="560" w:lineRule="exact"/>
        <w:jc w:val="both"/>
        <w:rPr>
          <w:rFonts w:ascii="黑体" w:eastAsia="黑体" w:hAnsi="黑体" w:cs="宋体"/>
          <w:color w:val="333333"/>
          <w:kern w:val="0"/>
          <w:sz w:val="32"/>
          <w:szCs w:val="32"/>
          <w14:ligatures w14:val="none"/>
        </w:rPr>
      </w:pPr>
      <w:r>
        <w:rPr>
          <w:rFonts w:ascii="黑体" w:eastAsia="黑体" w:hAnsi="黑体" w:cs="宋体" w:hint="eastAsia"/>
          <w:color w:val="333333"/>
          <w:kern w:val="0"/>
          <w:sz w:val="32"/>
          <w:szCs w:val="32"/>
          <w14:ligatures w14:val="none"/>
        </w:rPr>
        <w:t>重大课题</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lastRenderedPageBreak/>
        <w:t>1.</w:t>
      </w:r>
      <w:r>
        <w:rPr>
          <w:rFonts w:ascii="仿宋" w:eastAsia="仿宋" w:hAnsi="仿宋" w:cs="宋体" w:hint="eastAsia"/>
          <w:color w:val="333333"/>
          <w:kern w:val="0"/>
          <w:sz w:val="32"/>
          <w:szCs w:val="32"/>
          <w14:ligatures w14:val="none"/>
        </w:rPr>
        <w:t>现代职业教育体系建设背景下</w:t>
      </w:r>
      <w:r>
        <w:rPr>
          <w:rFonts w:ascii="仿宋" w:eastAsia="仿宋" w:hAnsi="仿宋" w:cs="宋体"/>
          <w:color w:val="333333"/>
          <w:kern w:val="0"/>
          <w:sz w:val="32"/>
          <w:szCs w:val="32"/>
          <w14:ligatures w14:val="none"/>
        </w:rPr>
        <w:t>中国特色学徒制治理体系与资源配置研究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2.</w:t>
      </w:r>
      <w:r>
        <w:rPr>
          <w:rFonts w:ascii="仿宋" w:eastAsia="仿宋" w:hAnsi="仿宋" w:cs="宋体" w:hint="eastAsia"/>
          <w:color w:val="333333"/>
          <w:kern w:val="0"/>
          <w:sz w:val="32"/>
          <w:szCs w:val="32"/>
          <w14:ligatures w14:val="none"/>
        </w:rPr>
        <w:t>教育强国建设背景下中国特色学徒制人才培养模式研究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中国特色学徒制理论内涵、育人模式与实践路径的国际比较研究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4.</w:t>
      </w:r>
      <w:r>
        <w:rPr>
          <w:rFonts w:ascii="仿宋" w:eastAsia="仿宋" w:hAnsi="仿宋" w:cs="宋体" w:hint="eastAsia"/>
          <w:color w:val="333333"/>
          <w:kern w:val="0"/>
          <w:sz w:val="32"/>
          <w:szCs w:val="32"/>
          <w14:ligatures w14:val="none"/>
        </w:rPr>
        <w:t>市域产教联合体与行业产教融合共同体内开展现场工程师培养的机制创新研究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5.</w:t>
      </w:r>
      <w:r>
        <w:rPr>
          <w:rFonts w:ascii="仿宋" w:eastAsia="仿宋" w:hAnsi="仿宋" w:cs="宋体" w:hint="eastAsia"/>
          <w:color w:val="333333"/>
          <w:kern w:val="0"/>
          <w:sz w:val="32"/>
          <w:szCs w:val="32"/>
          <w14:ligatures w14:val="none"/>
        </w:rPr>
        <w:t>中国特色学徒制视域下教学关键要素改革研究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6.</w:t>
      </w:r>
      <w:r>
        <w:rPr>
          <w:rFonts w:ascii="仿宋" w:eastAsia="仿宋" w:hAnsi="仿宋" w:cs="宋体" w:hint="eastAsia"/>
          <w:color w:val="333333"/>
          <w:kern w:val="0"/>
          <w:sz w:val="32"/>
          <w:szCs w:val="32"/>
          <w14:ligatures w14:val="none"/>
        </w:rPr>
        <w:t>教育强国背景下职业教育现代学徒制内涵与创新实践路径研究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7.</w:t>
      </w:r>
      <w:r>
        <w:rPr>
          <w:rFonts w:ascii="仿宋" w:eastAsia="仿宋" w:hAnsi="仿宋" w:cs="宋体"/>
          <w:color w:val="333333"/>
          <w:kern w:val="0"/>
          <w:sz w:val="32"/>
          <w:szCs w:val="32"/>
          <w14:ligatures w14:val="none"/>
        </w:rPr>
        <w:t>新质生产力视角下中国特色学徒制创新发展研究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8.</w:t>
      </w:r>
      <w:r>
        <w:rPr>
          <w:rFonts w:ascii="仿宋" w:eastAsia="仿宋" w:hAnsi="仿宋" w:cs="宋体"/>
          <w:color w:val="333333"/>
          <w:kern w:val="0"/>
          <w:sz w:val="32"/>
          <w:szCs w:val="32"/>
          <w14:ligatures w14:val="none"/>
        </w:rPr>
        <w:t>中国特色学徒制质量框架体系构建与评价指标研究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color w:val="333333"/>
          <w:kern w:val="0"/>
          <w:sz w:val="32"/>
          <w:szCs w:val="32"/>
          <w14:ligatures w14:val="none"/>
        </w:rPr>
        <w:t>9</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中国特色学徒制在构建现代职业教育框架体系中的角色与功能研究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0</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本科及以上学历的高层次学徒制人才培养模式研究</w:t>
      </w:r>
    </w:p>
    <w:p w:rsidR="00541FDC" w:rsidRDefault="00E128DE">
      <w:pPr>
        <w:spacing w:after="0" w:line="560" w:lineRule="exact"/>
        <w:ind w:firstLineChars="200" w:firstLine="640"/>
        <w:jc w:val="both"/>
        <w:rPr>
          <w:rFonts w:ascii="黑体" w:eastAsia="黑体" w:hAnsi="黑体" w:cs="宋体"/>
          <w:color w:val="333333"/>
          <w:kern w:val="0"/>
          <w:sz w:val="32"/>
          <w:szCs w:val="32"/>
          <w14:ligatures w14:val="none"/>
        </w:rPr>
      </w:pPr>
      <w:r>
        <w:rPr>
          <w:rFonts w:ascii="黑体" w:eastAsia="黑体" w:hAnsi="黑体" w:cs="宋体" w:hint="eastAsia"/>
          <w:color w:val="333333"/>
          <w:kern w:val="0"/>
          <w:sz w:val="32"/>
          <w:szCs w:val="32"/>
          <w14:ligatures w14:val="none"/>
        </w:rPr>
        <w:t>三、重点课题指南</w:t>
      </w:r>
    </w:p>
    <w:p w:rsidR="00541FDC" w:rsidRDefault="00E128DE">
      <w:pPr>
        <w:pStyle w:val="aa"/>
        <w:widowControl/>
        <w:spacing w:after="0" w:line="560" w:lineRule="exact"/>
        <w:ind w:left="0" w:firstLineChars="100" w:firstLine="320"/>
        <w:jc w:val="both"/>
        <w:rPr>
          <w:rFonts w:ascii="楷体" w:eastAsia="楷体" w:hAnsi="楷体" w:cs="方正黑体_GBK"/>
          <w:sz w:val="32"/>
          <w:szCs w:val="32"/>
          <w14:ligatures w14:val="none"/>
        </w:rPr>
      </w:pPr>
      <w:r>
        <w:rPr>
          <w:rFonts w:ascii="楷体" w:eastAsia="楷体" w:hAnsi="楷体" w:cs="方正黑体_GBK" w:hint="eastAsia"/>
          <w:sz w:val="32"/>
          <w:szCs w:val="32"/>
          <w14:ligatures w14:val="none"/>
        </w:rPr>
        <w:t>（一）基本理论研究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hint="eastAsia"/>
          <w:color w:val="333333"/>
          <w:kern w:val="0"/>
          <w:sz w:val="32"/>
          <w:szCs w:val="32"/>
          <w14:ligatures w14:val="none"/>
        </w:rPr>
        <w:t>中国特色学徒制内涵与特征研究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2.</w:t>
      </w:r>
      <w:r>
        <w:rPr>
          <w:rFonts w:ascii="仿宋" w:eastAsia="仿宋" w:hAnsi="仿宋" w:cs="宋体" w:hint="eastAsia"/>
          <w:color w:val="333333"/>
          <w:kern w:val="0"/>
          <w:sz w:val="32"/>
          <w:szCs w:val="32"/>
          <w14:ligatures w14:val="none"/>
        </w:rPr>
        <w:t>现场工程师的内涵特征和培养路径研究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数字化转型背景下新型师徒关系构建研究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4.</w:t>
      </w:r>
      <w:r>
        <w:rPr>
          <w:rFonts w:ascii="仿宋" w:eastAsia="仿宋" w:hAnsi="仿宋" w:cs="宋体" w:hint="eastAsia"/>
          <w:color w:val="333333"/>
          <w:kern w:val="0"/>
          <w:sz w:val="32"/>
          <w:szCs w:val="32"/>
          <w14:ligatures w14:val="none"/>
        </w:rPr>
        <w:t>党建引领中国特色学徒制创新发展研究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5.</w:t>
      </w:r>
      <w:r>
        <w:rPr>
          <w:rFonts w:ascii="仿宋" w:eastAsia="仿宋" w:hAnsi="仿宋" w:cs="宋体" w:hint="eastAsia"/>
          <w:color w:val="333333"/>
          <w:kern w:val="0"/>
          <w:sz w:val="32"/>
          <w:szCs w:val="32"/>
          <w14:ligatures w14:val="none"/>
        </w:rPr>
        <w:t>中国特色学徒制背景下的思政教学体系研究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6.</w:t>
      </w:r>
      <w:r>
        <w:rPr>
          <w:rFonts w:ascii="仿宋" w:eastAsia="仿宋" w:hAnsi="仿宋" w:cs="宋体" w:hint="eastAsia"/>
          <w:color w:val="333333"/>
          <w:kern w:val="0"/>
          <w:sz w:val="32"/>
          <w:szCs w:val="32"/>
          <w14:ligatures w14:val="none"/>
        </w:rPr>
        <w:t>职普融通视域下现场工程师多元成长路径研究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lastRenderedPageBreak/>
        <w:t>7.</w:t>
      </w:r>
      <w:r>
        <w:rPr>
          <w:rFonts w:ascii="仿宋" w:eastAsia="仿宋" w:hAnsi="仿宋" w:cs="宋体" w:hint="eastAsia"/>
          <w:color w:val="333333"/>
          <w:kern w:val="0"/>
          <w:sz w:val="32"/>
          <w:szCs w:val="32"/>
          <w14:ligatures w14:val="none"/>
        </w:rPr>
        <w:t>中国特色学徒制国际比较研究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8.</w:t>
      </w:r>
      <w:r>
        <w:rPr>
          <w:rFonts w:ascii="仿宋" w:eastAsia="仿宋" w:hAnsi="仿宋" w:cs="宋体"/>
          <w:color w:val="333333"/>
          <w:kern w:val="0"/>
          <w:sz w:val="32"/>
          <w:szCs w:val="32"/>
          <w14:ligatures w14:val="none"/>
        </w:rPr>
        <w:t>中国特色学徒制评价标准与监管体系研究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color w:val="333333"/>
          <w:kern w:val="0"/>
          <w:sz w:val="32"/>
          <w:szCs w:val="32"/>
          <w14:ligatures w14:val="none"/>
        </w:rPr>
        <w:t>9</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中国特色学徒制政策演进与优化路径研究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color w:val="333333"/>
          <w:kern w:val="0"/>
          <w:sz w:val="32"/>
          <w:szCs w:val="32"/>
          <w14:ligatures w14:val="none"/>
        </w:rPr>
        <w:t>10</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中国特色学徒制制度设计与运行机制研究</w:t>
      </w:r>
    </w:p>
    <w:p w:rsidR="00541FDC" w:rsidRDefault="00E128DE">
      <w:pPr>
        <w:pStyle w:val="aa"/>
        <w:widowControl/>
        <w:spacing w:after="0" w:line="560" w:lineRule="exact"/>
        <w:ind w:left="0" w:firstLineChars="100" w:firstLine="320"/>
        <w:jc w:val="both"/>
        <w:rPr>
          <w:rFonts w:ascii="楷体" w:eastAsia="楷体" w:hAnsi="楷体" w:cs="方正黑体_GBK"/>
          <w:sz w:val="32"/>
          <w:szCs w:val="32"/>
          <w14:ligatures w14:val="none"/>
        </w:rPr>
      </w:pPr>
      <w:r>
        <w:rPr>
          <w:rFonts w:ascii="楷体" w:eastAsia="楷体" w:hAnsi="楷体" w:cs="方正黑体_GBK" w:hint="eastAsia"/>
          <w:sz w:val="32"/>
          <w:szCs w:val="32"/>
          <w14:ligatures w14:val="none"/>
        </w:rPr>
        <w:t>（二）决策咨询研究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hint="eastAsia"/>
          <w:color w:val="333333"/>
          <w:kern w:val="0"/>
          <w:sz w:val="32"/>
          <w:szCs w:val="32"/>
          <w14:ligatures w14:val="none"/>
        </w:rPr>
        <w:t>中国特色学徒制实施现状调查研究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2.</w:t>
      </w:r>
      <w:r>
        <w:rPr>
          <w:rFonts w:ascii="仿宋" w:eastAsia="仿宋" w:hAnsi="仿宋" w:cs="宋体" w:hint="eastAsia"/>
          <w:color w:val="333333"/>
          <w:kern w:val="0"/>
          <w:sz w:val="32"/>
          <w:szCs w:val="32"/>
          <w14:ligatures w14:val="none"/>
        </w:rPr>
        <w:t>中国特色学徒制发展动力机制研究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中国特色学徒制的政策保障研究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4.</w:t>
      </w:r>
      <w:r>
        <w:rPr>
          <w:rFonts w:ascii="仿宋" w:eastAsia="仿宋" w:hAnsi="仿宋" w:cs="宋体" w:hint="eastAsia"/>
          <w:color w:val="333333"/>
          <w:kern w:val="0"/>
          <w:sz w:val="32"/>
          <w:szCs w:val="32"/>
          <w14:ligatures w14:val="none"/>
        </w:rPr>
        <w:t>中国特色学徒制法制建设研究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5.</w:t>
      </w:r>
      <w:r>
        <w:rPr>
          <w:rFonts w:ascii="仿宋" w:eastAsia="仿宋" w:hAnsi="仿宋" w:cs="宋体" w:hint="eastAsia"/>
          <w:color w:val="333333"/>
          <w:kern w:val="0"/>
          <w:sz w:val="32"/>
          <w:szCs w:val="32"/>
          <w14:ligatures w14:val="none"/>
        </w:rPr>
        <w:t>现场工程师专项培养计划政策保障研究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6.</w:t>
      </w:r>
      <w:r>
        <w:rPr>
          <w:rFonts w:ascii="仿宋" w:eastAsia="仿宋" w:hAnsi="仿宋" w:cs="宋体" w:hint="eastAsia"/>
          <w:color w:val="333333"/>
          <w:kern w:val="0"/>
          <w:sz w:val="32"/>
          <w:szCs w:val="32"/>
          <w14:ligatures w14:val="none"/>
        </w:rPr>
        <w:t>中国特色学徒制质量评价标准研究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7.</w:t>
      </w:r>
      <w:r>
        <w:rPr>
          <w:rFonts w:ascii="仿宋" w:eastAsia="仿宋" w:hAnsi="仿宋" w:cs="宋体" w:hint="eastAsia"/>
          <w:color w:val="333333"/>
          <w:kern w:val="0"/>
          <w:sz w:val="32"/>
          <w:szCs w:val="32"/>
          <w14:ligatures w14:val="none"/>
        </w:rPr>
        <w:t>现代学徒制人才培养模式的国际比较研究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8.</w:t>
      </w:r>
      <w:r>
        <w:rPr>
          <w:rFonts w:ascii="仿宋" w:eastAsia="仿宋" w:hAnsi="仿宋" w:cs="宋体" w:hint="eastAsia"/>
          <w:color w:val="333333"/>
          <w:kern w:val="0"/>
          <w:sz w:val="32"/>
          <w:szCs w:val="32"/>
          <w14:ligatures w14:val="none"/>
        </w:rPr>
        <w:t>中国特色学徒制与“新八级工”制度融合研究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9.</w:t>
      </w:r>
      <w:r>
        <w:rPr>
          <w:rFonts w:ascii="仿宋" w:eastAsia="仿宋" w:hAnsi="仿宋" w:cs="宋体" w:hint="eastAsia"/>
          <w:color w:val="333333"/>
          <w:kern w:val="0"/>
          <w:sz w:val="32"/>
          <w:szCs w:val="32"/>
          <w14:ligatures w14:val="none"/>
        </w:rPr>
        <w:t>数字化时代中国特色学徒制创新发展路径研究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“新双高”背景下中国特色现代学徒制实施路径研究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1</w:t>
      </w:r>
      <w:r>
        <w:rPr>
          <w:rFonts w:ascii="仿宋" w:eastAsia="仿宋" w:hAnsi="仿宋" w:cs="宋体" w:hint="eastAsia"/>
          <w:color w:val="333333"/>
          <w:kern w:val="0"/>
          <w:sz w:val="32"/>
          <w:szCs w:val="32"/>
          <w14:ligatures w14:val="none"/>
        </w:rPr>
        <w:t>.</w:t>
      </w:r>
      <w:r>
        <w:rPr>
          <w:rFonts w:hint="eastAsia"/>
        </w:rPr>
        <w:t xml:space="preserve"> </w:t>
      </w:r>
      <w:r>
        <w:rPr>
          <w:rFonts w:ascii="仿宋" w:eastAsia="仿宋" w:hAnsi="仿宋" w:cs="宋体" w:hint="eastAsia"/>
          <w:color w:val="333333"/>
          <w:kern w:val="0"/>
          <w:sz w:val="32"/>
          <w:szCs w:val="32"/>
          <w14:ligatures w14:val="none"/>
        </w:rPr>
        <w:t>中国特色学徒制成本分担和利益共享机制研究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2</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中国特色学徒制实践案例分析与经验推广研究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3</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中国特色学徒制在高职院校中的应用效果与改进研究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4</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多元治理视角下的中国特色学徒制制度建设</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5</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中国特色学徒制与产业升级互动关系研究</w:t>
      </w:r>
    </w:p>
    <w:p w:rsidR="00541FDC" w:rsidRDefault="00E128DE">
      <w:pPr>
        <w:pStyle w:val="aa"/>
        <w:widowControl/>
        <w:spacing w:after="0" w:line="560" w:lineRule="exact"/>
        <w:ind w:left="0" w:firstLineChars="100" w:firstLine="320"/>
        <w:jc w:val="both"/>
        <w:rPr>
          <w:rFonts w:ascii="楷体" w:eastAsia="楷体" w:hAnsi="楷体" w:cs="方正黑体_GBK"/>
          <w:sz w:val="32"/>
          <w:szCs w:val="32"/>
          <w14:ligatures w14:val="none"/>
        </w:rPr>
      </w:pPr>
      <w:r>
        <w:rPr>
          <w:rFonts w:ascii="楷体" w:eastAsia="楷体" w:hAnsi="楷体" w:cs="方正黑体_GBK" w:hint="eastAsia"/>
          <w:sz w:val="32"/>
          <w:szCs w:val="32"/>
          <w14:ligatures w14:val="none"/>
        </w:rPr>
        <w:t>（三）改革实践研究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hint="eastAsia"/>
          <w:color w:val="333333"/>
          <w:kern w:val="0"/>
          <w:sz w:val="32"/>
          <w:szCs w:val="32"/>
          <w14:ligatures w14:val="none"/>
        </w:rPr>
        <w:t>基于中国特色学徒制的工匠精神培养路径研究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2.</w:t>
      </w:r>
      <w:r>
        <w:rPr>
          <w:rFonts w:ascii="仿宋" w:eastAsia="仿宋" w:hAnsi="仿宋" w:cs="宋体" w:hint="eastAsia"/>
          <w:color w:val="333333"/>
          <w:kern w:val="0"/>
          <w:sz w:val="32"/>
          <w:szCs w:val="32"/>
          <w14:ligatures w14:val="none"/>
        </w:rPr>
        <w:t>中国特色学徒制视域下职业教育专业课程改革研究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lastRenderedPageBreak/>
        <w:t>3.</w:t>
      </w:r>
      <w:r>
        <w:rPr>
          <w:rFonts w:ascii="仿宋" w:eastAsia="仿宋" w:hAnsi="仿宋" w:cs="宋体" w:hint="eastAsia"/>
          <w:color w:val="333333"/>
          <w:kern w:val="0"/>
          <w:sz w:val="32"/>
          <w:szCs w:val="32"/>
          <w14:ligatures w14:val="none"/>
        </w:rPr>
        <w:t>基于中国特色学徒制的“金教师”团队建设研究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4.</w:t>
      </w:r>
      <w:r>
        <w:rPr>
          <w:rFonts w:ascii="仿宋" w:eastAsia="仿宋" w:hAnsi="仿宋" w:cs="宋体" w:hint="eastAsia"/>
          <w:color w:val="333333"/>
          <w:kern w:val="0"/>
          <w:sz w:val="32"/>
          <w:szCs w:val="32"/>
          <w14:ligatures w14:val="none"/>
        </w:rPr>
        <w:t>基于中国特色学徒制的“金基地”建设研究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5.</w:t>
      </w:r>
      <w:r>
        <w:rPr>
          <w:rFonts w:ascii="仿宋" w:eastAsia="仿宋" w:hAnsi="仿宋" w:cs="宋体" w:hint="eastAsia"/>
          <w:color w:val="333333"/>
          <w:kern w:val="0"/>
          <w:sz w:val="32"/>
          <w:szCs w:val="32"/>
          <w14:ligatures w14:val="none"/>
        </w:rPr>
        <w:t>基于中国特色学徒制的新形态教材建设与应用研究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6.</w:t>
      </w:r>
      <w:r>
        <w:rPr>
          <w:rFonts w:ascii="仿宋" w:eastAsia="仿宋" w:hAnsi="仿宋" w:cs="宋体" w:hint="eastAsia"/>
          <w:color w:val="333333"/>
          <w:kern w:val="0"/>
          <w:sz w:val="32"/>
          <w:szCs w:val="32"/>
          <w14:ligatures w14:val="none"/>
        </w:rPr>
        <w:t>中国特色学徒制课程教学体系构建研究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7.</w:t>
      </w:r>
      <w:r>
        <w:rPr>
          <w:rFonts w:ascii="仿宋" w:eastAsia="仿宋" w:hAnsi="仿宋" w:cs="宋体" w:hint="eastAsia"/>
          <w:color w:val="333333"/>
          <w:kern w:val="0"/>
          <w:sz w:val="32"/>
          <w:szCs w:val="32"/>
          <w14:ligatures w14:val="none"/>
        </w:rPr>
        <w:t>中国特色学徒制背景下本科层次人才培养模式研究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8.</w:t>
      </w:r>
      <w:r>
        <w:rPr>
          <w:rFonts w:ascii="仿宋" w:eastAsia="仿宋" w:hAnsi="仿宋" w:cs="宋体" w:hint="eastAsia"/>
          <w:color w:val="333333"/>
          <w:kern w:val="0"/>
          <w:sz w:val="32"/>
          <w:szCs w:val="32"/>
          <w14:ligatures w14:val="none"/>
        </w:rPr>
        <w:t>中国特色学徒制的校企协同实施路径研究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9.</w:t>
      </w:r>
      <w:r>
        <w:rPr>
          <w:rFonts w:ascii="仿宋" w:eastAsia="仿宋" w:hAnsi="仿宋" w:cs="宋体" w:hint="eastAsia"/>
          <w:color w:val="333333"/>
          <w:kern w:val="0"/>
          <w:sz w:val="32"/>
          <w:szCs w:val="32"/>
          <w14:ligatures w14:val="none"/>
        </w:rPr>
        <w:t>职普融通背景下学徒制特色的长学制人才培养研究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基于中国特色学徒制的中高本一体化课程体系研究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11.</w:t>
      </w:r>
      <w:r>
        <w:rPr>
          <w:rFonts w:ascii="仿宋" w:eastAsia="仿宋" w:hAnsi="仿宋" w:cs="宋体" w:hint="eastAsia"/>
          <w:color w:val="333333"/>
          <w:kern w:val="0"/>
          <w:sz w:val="32"/>
          <w:szCs w:val="32"/>
          <w14:ligatures w14:val="none"/>
        </w:rPr>
        <w:t>现场工程师人才培养课程体系研究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12.</w:t>
      </w:r>
      <w:r>
        <w:rPr>
          <w:rFonts w:ascii="仿宋" w:eastAsia="仿宋" w:hAnsi="仿宋" w:cs="宋体" w:hint="eastAsia"/>
          <w:color w:val="333333"/>
          <w:kern w:val="0"/>
          <w:sz w:val="32"/>
          <w:szCs w:val="32"/>
          <w14:ligatures w14:val="none"/>
        </w:rPr>
        <w:t>现场工程师人才培养模式及评价标准研究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3</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中国特色学徒制建设标准体系研究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4</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中国特色学徒制工作实施指南开发研究</w:t>
      </w:r>
    </w:p>
    <w:p w:rsidR="00541FDC" w:rsidRDefault="00E128DE">
      <w:pPr>
        <w:tabs>
          <w:tab w:val="left" w:pos="1083"/>
        </w:tabs>
        <w:kinsoku w:val="0"/>
        <w:overflowPunct w:val="0"/>
        <w:autoSpaceDE w:val="0"/>
        <w:autoSpaceDN w:val="0"/>
        <w:adjustRightInd w:val="0"/>
        <w:snapToGrid w:val="0"/>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1</w:t>
      </w:r>
      <w:r>
        <w:rPr>
          <w:rFonts w:ascii="仿宋" w:eastAsia="仿宋" w:hAnsi="仿宋" w:cs="宋体"/>
          <w:color w:val="333333"/>
          <w:kern w:val="0"/>
          <w:sz w:val="32"/>
          <w:szCs w:val="32"/>
          <w14:ligatures w14:val="none"/>
        </w:rPr>
        <w:t>5</w:t>
      </w:r>
      <w:r>
        <w:rPr>
          <w:rFonts w:ascii="仿宋" w:eastAsia="仿宋" w:hAnsi="仿宋" w:cs="宋体" w:hint="eastAsia"/>
          <w:color w:val="333333"/>
          <w:kern w:val="0"/>
          <w:sz w:val="32"/>
          <w:szCs w:val="32"/>
          <w14:ligatures w14:val="none"/>
        </w:rPr>
        <w:t>.</w:t>
      </w:r>
      <w:r>
        <w:rPr>
          <w:rFonts w:ascii="仿宋" w:eastAsia="仿宋" w:hAnsi="仿宋" w:cs="宋体"/>
          <w:color w:val="333333"/>
          <w:kern w:val="0"/>
          <w:sz w:val="32"/>
          <w:szCs w:val="32"/>
          <w14:ligatures w14:val="none"/>
        </w:rPr>
        <w:t>数智赋能视角下中国特色学徒制创新发展研究</w:t>
      </w:r>
    </w:p>
    <w:sectPr w:rsidR="00541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DE" w:rsidRDefault="00E128DE">
      <w:pPr>
        <w:spacing w:line="240" w:lineRule="auto"/>
      </w:pPr>
    </w:p>
  </w:endnote>
  <w:endnote w:type="continuationSeparator" w:id="0">
    <w:p w:rsidR="00E128DE" w:rsidRDefault="00E128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DE" w:rsidRDefault="00E128DE">
      <w:pPr>
        <w:spacing w:after="0"/>
      </w:pPr>
    </w:p>
  </w:footnote>
  <w:footnote w:type="continuationSeparator" w:id="0">
    <w:p w:rsidR="00E128DE" w:rsidRDefault="00E128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08DB"/>
    <w:multiLevelType w:val="multilevel"/>
    <w:tmpl w:val="2FA208DB"/>
    <w:lvl w:ilvl="0">
      <w:start w:val="2"/>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DB"/>
    <w:rsid w:val="001544CF"/>
    <w:rsid w:val="001B13BC"/>
    <w:rsid w:val="002A2269"/>
    <w:rsid w:val="004148F0"/>
    <w:rsid w:val="00541FDC"/>
    <w:rsid w:val="005F3479"/>
    <w:rsid w:val="008259DB"/>
    <w:rsid w:val="00866B24"/>
    <w:rsid w:val="0097368C"/>
    <w:rsid w:val="00CB2651"/>
    <w:rsid w:val="00CD47A6"/>
    <w:rsid w:val="00E00D7F"/>
    <w:rsid w:val="00E128DE"/>
    <w:rsid w:val="00E94D21"/>
    <w:rsid w:val="00F264F5"/>
    <w:rsid w:val="2D90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55AD6-04EB-4D4A-97D9-C097FF9A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7">
    <w:name w:val="Strong"/>
    <w:basedOn w:val="a0"/>
    <w:uiPriority w:val="22"/>
    <w:qFormat/>
    <w:rPr>
      <w:b/>
      <w:bCs/>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pPr>
      <w:spacing w:before="160"/>
      <w:jc w:val="center"/>
    </w:pPr>
    <w:rPr>
      <w:i/>
      <w:iCs/>
      <w:color w:val="404040" w:themeColor="text1" w:themeTint="BF"/>
    </w:rPr>
  </w:style>
  <w:style w:type="character" w:customStyle="1" w:styleId="a9">
    <w:name w:val="引用 字符"/>
    <w:basedOn w:val="a0"/>
    <w:link w:val="a8"/>
    <w:uiPriority w:val="29"/>
    <w:qFormat/>
    <w:rPr>
      <w:i/>
      <w:iCs/>
      <w:color w:val="404040" w:themeColor="text1" w:themeTint="BF"/>
    </w:rPr>
  </w:style>
  <w:style w:type="paragraph" w:styleId="a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b">
    <w:name w:val="Intense Quote"/>
    <w:basedOn w:val="a"/>
    <w:next w:val="a"/>
    <w:link w:val="a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huolijuan</dc:creator>
  <cp:lastModifiedBy>Wenlong Liu</cp:lastModifiedBy>
  <cp:revision>2</cp:revision>
  <dcterms:created xsi:type="dcterms:W3CDTF">2024-12-15T08:11:00Z</dcterms:created>
  <dcterms:modified xsi:type="dcterms:W3CDTF">2024-12-15T08:11:00Z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88A0049943FD451B8F02394B29642FAC_12</vt:lpwstr>
  </property>
</Properties>
</file>