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</w:rPr>
        <w:t>宁波职业技术学院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lang w:eastAsia="zh-CN"/>
        </w:rPr>
        <w:t>2024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</w:rPr>
        <w:t>届毕业生结业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lang w:val="en-US" w:eastAsia="zh-CN"/>
        </w:rPr>
        <w:t>离校通知书</w:t>
      </w:r>
      <w:bookmarkStart w:id="0" w:name="_GoBack"/>
      <w:bookmarkEnd w:id="0"/>
    </w:p>
    <w:tbl>
      <w:tblPr>
        <w:tblStyle w:val="7"/>
        <w:tblW w:w="87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505"/>
        <w:gridCol w:w="1722"/>
        <w:gridCol w:w="2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二级学院</w:t>
            </w:r>
          </w:p>
        </w:tc>
        <w:tc>
          <w:tcPr>
            <w:tcW w:w="2505" w:type="dxa"/>
            <w:vAlign w:val="center"/>
          </w:tcPr>
          <w:p/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二级学院办公室联系电话</w:t>
            </w:r>
          </w:p>
        </w:tc>
        <w:tc>
          <w:tcPr>
            <w:tcW w:w="2819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lang w:val="en-US" w:eastAsia="zh-CN"/>
              </w:rPr>
              <w:t>所在年级</w:t>
            </w:r>
          </w:p>
        </w:tc>
        <w:tc>
          <w:tcPr>
            <w:tcW w:w="2505" w:type="dxa"/>
            <w:vAlign w:val="center"/>
          </w:tcPr>
          <w:p/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班级</w:t>
            </w:r>
          </w:p>
        </w:tc>
        <w:tc>
          <w:tcPr>
            <w:tcW w:w="2819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学号</w:t>
            </w:r>
          </w:p>
        </w:tc>
        <w:tc>
          <w:tcPr>
            <w:tcW w:w="2505" w:type="dxa"/>
            <w:vAlign w:val="center"/>
          </w:tcPr>
          <w:p/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姓名</w:t>
            </w:r>
          </w:p>
        </w:tc>
        <w:tc>
          <w:tcPr>
            <w:tcW w:w="2819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班主任</w:t>
            </w:r>
          </w:p>
        </w:tc>
        <w:tc>
          <w:tcPr>
            <w:tcW w:w="2505" w:type="dxa"/>
            <w:vAlign w:val="center"/>
          </w:tcPr>
          <w:p/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>班主任联系电话</w:t>
            </w:r>
          </w:p>
        </w:tc>
        <w:tc>
          <w:tcPr>
            <w:tcW w:w="2819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3" w:hRule="atLeast"/>
        </w:trPr>
        <w:tc>
          <w:tcPr>
            <w:tcW w:w="8732" w:type="dxa"/>
            <w:gridSpan w:val="4"/>
            <w:vAlign w:val="center"/>
          </w:tcPr>
          <w:tbl>
            <w:tblPr>
              <w:tblStyle w:val="7"/>
              <w:tblW w:w="0" w:type="auto"/>
              <w:tblInd w:w="550" w:type="dxa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57"/>
              <w:gridCol w:w="2182"/>
              <w:gridCol w:w="1470"/>
            </w:tblGrid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9" w:hRule="atLeast"/>
              </w:trPr>
              <w:tc>
                <w:tcPr>
                  <w:tcW w:w="7409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</w:rPr>
                    <w:t>不及格课程信息</w:t>
                  </w: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</w:rPr>
                    <w:t>课程名称</w:t>
                  </w: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</w:rPr>
                    <w:t>不及格学年学期</w:t>
                  </w: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</w:rPr>
                    <w:t>学分</w:t>
                  </w: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3757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2182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</w:rPr>
                  </w:pPr>
                </w:p>
              </w:tc>
            </w:tr>
            <w:tr>
              <w:tblPrEx>
                <w:tblBorders>
                  <w:top w:val="dashSmallGap" w:color="auto" w:sz="4" w:space="0"/>
                  <w:left w:val="dashSmallGap" w:color="auto" w:sz="4" w:space="0"/>
                  <w:bottom w:val="dashSmallGap" w:color="auto" w:sz="4" w:space="0"/>
                  <w:right w:val="dashSmallGap" w:color="auto" w:sz="4" w:space="0"/>
                  <w:insideH w:val="dashSmallGap" w:color="auto" w:sz="4" w:space="0"/>
                  <w:insideV w:val="dashSmallGap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9" w:hRule="atLeast"/>
              </w:trPr>
              <w:tc>
                <w:tcPr>
                  <w:tcW w:w="5939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/>
                    </w:rPr>
                    <w:t>所缺学分合计</w:t>
                  </w:r>
                </w:p>
              </w:tc>
              <w:tc>
                <w:tcPr>
                  <w:tcW w:w="1470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>
            <w:pPr>
              <w:spacing w:before="156" w:beforeLines="50" w:line="240" w:lineRule="auto"/>
              <w:jc w:val="left"/>
              <w:rPr>
                <w:rFonts w:hint="eastAsia" w:ascii="黑体" w:hAnsi="黑体" w:eastAsia="黑体" w:cs="黑体"/>
                <w:b w:val="0"/>
                <w:bCs/>
              </w:rPr>
            </w:pPr>
            <w:r>
              <w:rPr>
                <w:rFonts w:hint="eastAsia" w:ascii="黑体" w:hAnsi="黑体" w:eastAsia="黑体" w:cs="黑体"/>
                <w:b w:val="0"/>
                <w:bCs/>
              </w:rPr>
              <w:t xml:space="preserve">该生因上述课程成绩或学分未达到毕业要求，以结业处理，班主任已告知家长。 </w:t>
            </w:r>
          </w:p>
          <w:p>
            <w:pPr>
              <w:spacing w:before="156" w:beforeLines="50" w:line="240" w:lineRule="auto"/>
              <w:jc w:val="center"/>
            </w:pPr>
            <w:r>
              <w:rPr>
                <w:rFonts w:hint="eastAsia" w:ascii="黑体" w:hAnsi="黑体" w:eastAsia="黑体" w:cs="黑体"/>
                <w:b w:val="0"/>
                <w:bCs/>
              </w:rPr>
              <w:t>班主任签字：                     二级学院盖章：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8732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结业换证考试说明：</w:t>
            </w:r>
          </w:p>
          <w:p>
            <w:pPr>
              <w:spacing w:line="360" w:lineRule="auto"/>
              <w:ind w:firstLine="420" w:firstLineChars="200"/>
            </w:pPr>
            <w:r>
              <w:rPr>
                <w:rFonts w:hint="eastAsia" w:ascii="仿宋" w:hAnsi="仿宋" w:eastAsia="仿宋" w:cs="仿宋"/>
              </w:rPr>
              <w:t>学校结业换证</w:t>
            </w:r>
            <w:r>
              <w:rPr>
                <w:rFonts w:hint="eastAsia" w:ascii="仿宋" w:hAnsi="仿宋" w:eastAsia="仿宋" w:cs="仿宋"/>
                <w:szCs w:val="21"/>
              </w:rPr>
              <w:t>考试每年一次，安排在十月下旬，请在每年九月初向所在二级学院申请参加结业换证考试，</w:t>
            </w:r>
            <w:r>
              <w:rPr>
                <w:rFonts w:hint="eastAsia" w:ascii="仿宋" w:hAnsi="仿宋" w:eastAsia="仿宋" w:cs="仿宋"/>
              </w:rPr>
              <w:t>结业换证期限至</w:t>
            </w:r>
            <w:r>
              <w:rPr>
                <w:rFonts w:hint="eastAsia" w:ascii="仿宋" w:hAnsi="仿宋" w:eastAsia="仿宋" w:cs="仿宋"/>
                <w:highlight w:val="yellow"/>
              </w:rPr>
              <w:t>20XX年</w:t>
            </w:r>
            <w:r>
              <w:rPr>
                <w:rFonts w:hint="eastAsia" w:ascii="仿宋" w:hAnsi="仿宋" w:eastAsia="仿宋" w:cs="仿宋"/>
              </w:rPr>
              <w:t>10月。</w:t>
            </w:r>
          </w:p>
        </w:tc>
      </w:tr>
    </w:tbl>
    <w:p>
      <w:pPr>
        <w:jc w:val="right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宁波职业技术学院教务处</w:t>
      </w:r>
    </w:p>
    <w:p>
      <w:pPr>
        <w:pStyle w:val="2"/>
        <w:jc w:val="righ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sz w:val="28"/>
          <w:lang w:val="en-US" w:eastAsia="zh-CN"/>
        </w:rPr>
        <w:t>2024年6月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217142-2C9D-46FB-A4D3-3945BC41FD2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5FC6658-6C20-4B92-813C-6CB9E552BC8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2281CB9-E1E5-4AFC-B672-4DF0ED18BC5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ZWUxMjJhMWM4MjYxZmZkYWRiYmNjNjkwOGMxMTAifQ=="/>
  </w:docVars>
  <w:rsids>
    <w:rsidRoot w:val="00A557F5"/>
    <w:rsid w:val="000256E6"/>
    <w:rsid w:val="00070EA8"/>
    <w:rsid w:val="00093694"/>
    <w:rsid w:val="00114E5D"/>
    <w:rsid w:val="00124885"/>
    <w:rsid w:val="00141487"/>
    <w:rsid w:val="00195FAA"/>
    <w:rsid w:val="001C60DD"/>
    <w:rsid w:val="0022322C"/>
    <w:rsid w:val="00225514"/>
    <w:rsid w:val="00235049"/>
    <w:rsid w:val="002A5E9C"/>
    <w:rsid w:val="002C4E40"/>
    <w:rsid w:val="002E3452"/>
    <w:rsid w:val="002F36F6"/>
    <w:rsid w:val="00307869"/>
    <w:rsid w:val="00316E56"/>
    <w:rsid w:val="00324995"/>
    <w:rsid w:val="00356811"/>
    <w:rsid w:val="00392F18"/>
    <w:rsid w:val="004D3245"/>
    <w:rsid w:val="004F1200"/>
    <w:rsid w:val="00526356"/>
    <w:rsid w:val="00573966"/>
    <w:rsid w:val="0057733B"/>
    <w:rsid w:val="00670D95"/>
    <w:rsid w:val="006B6E2E"/>
    <w:rsid w:val="00785D63"/>
    <w:rsid w:val="008838FE"/>
    <w:rsid w:val="008A3944"/>
    <w:rsid w:val="008D1BB6"/>
    <w:rsid w:val="00912FFE"/>
    <w:rsid w:val="009F239A"/>
    <w:rsid w:val="00A557F5"/>
    <w:rsid w:val="00A7378E"/>
    <w:rsid w:val="00AF49F6"/>
    <w:rsid w:val="00B744F9"/>
    <w:rsid w:val="00B82E55"/>
    <w:rsid w:val="00C1112F"/>
    <w:rsid w:val="00C744E1"/>
    <w:rsid w:val="00CF7D12"/>
    <w:rsid w:val="00D37108"/>
    <w:rsid w:val="00D57536"/>
    <w:rsid w:val="00DF5BA0"/>
    <w:rsid w:val="00E6443D"/>
    <w:rsid w:val="00EC0BAA"/>
    <w:rsid w:val="00F036E4"/>
    <w:rsid w:val="00F419DC"/>
    <w:rsid w:val="00F51F0C"/>
    <w:rsid w:val="00F55300"/>
    <w:rsid w:val="00F95CB0"/>
    <w:rsid w:val="00FE4865"/>
    <w:rsid w:val="00FE5426"/>
    <w:rsid w:val="00FF3F93"/>
    <w:rsid w:val="45E61B27"/>
    <w:rsid w:val="46100F8E"/>
    <w:rsid w:val="4B0C4855"/>
    <w:rsid w:val="5A2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 w:afterLines="0" w:afterAutospacing="0"/>
    </w:p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47</Words>
  <Characters>274</Characters>
  <Lines>2</Lines>
  <Paragraphs>1</Paragraphs>
  <TotalTime>15</TotalTime>
  <ScaleCrop>false</ScaleCrop>
  <LinksUpToDate>false</LinksUpToDate>
  <CharactersWithSpaces>320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2021-04-23T00:59:00Z</dcterms:created>
  <dc:creator>XZOS</dc:creator>
  <cp:lastModifiedBy>韩冬越</cp:lastModifiedBy>
  <cp:lastPrinted>2024-03-29T08:29:26Z</cp:lastPrinted>
  <dcterms:modified xsi:type="dcterms:W3CDTF">2024-03-29T08:34:27Z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D9BF1E2ED981410FA95F6C7E332C4CDE_12</vt:lpwstr>
  </property>
</Properties>
</file>